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102C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912102D" w14:textId="6B60FC8E" w:rsidR="00EB1C5A" w:rsidRDefault="00EB1C5A" w:rsidP="004321DB">
      <w:pPr>
        <w:pStyle w:val="F2-zkladn"/>
        <w:tabs>
          <w:tab w:val="right" w:pos="9070"/>
        </w:tabs>
      </w:pPr>
      <w:r>
        <w:tab/>
      </w:r>
      <w:r w:rsidR="00BE16A9">
        <w:t xml:space="preserve">Praha, </w:t>
      </w:r>
      <w:r w:rsidR="00AC6BF2">
        <w:t>6</w:t>
      </w:r>
      <w:r w:rsidR="00BE16A9">
        <w:t>. ledna 2021</w:t>
      </w:r>
    </w:p>
    <w:p w14:paraId="3912102E" w14:textId="77777777" w:rsidR="00D04011" w:rsidRDefault="00B14E16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Tomáš Podškubka se stal novým partnerem TPA </w:t>
      </w:r>
    </w:p>
    <w:p w14:paraId="3912102F" w14:textId="77777777" w:rsidR="00D04011" w:rsidRDefault="00B14E16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Tomáš Podškubka se k 1. lednu 2021 stal novým partnerem poradenské společnosti TPA. Ve firmě působí </w:t>
      </w:r>
      <w:r w:rsidR="00FA1347">
        <w:rPr>
          <w:rFonts w:eastAsia="Calibri"/>
          <w:b/>
          <w:lang w:eastAsia="en-US"/>
        </w:rPr>
        <w:t>už patnáct let</w:t>
      </w:r>
      <w:r>
        <w:rPr>
          <w:rFonts w:eastAsia="Calibri"/>
          <w:b/>
          <w:lang w:eastAsia="en-US"/>
        </w:rPr>
        <w:t xml:space="preserve"> a zaměřuje se na oblast oceňování, strukturací, přeměn, M&amp;A a strategického poradenství.</w:t>
      </w:r>
    </w:p>
    <w:p w14:paraId="39121030" w14:textId="77777777" w:rsidR="00D04011" w:rsidRDefault="00FA1347" w:rsidP="00D04011">
      <w:pPr>
        <w:pStyle w:val="F2-zkladn"/>
        <w:tabs>
          <w:tab w:val="right" w:pos="9070"/>
        </w:tabs>
        <w:spacing w:line="240" w:lineRule="auto"/>
      </w:pPr>
      <w:r>
        <w:t>Tomáš P</w:t>
      </w:r>
      <w:r w:rsidR="008A654A">
        <w:t>odškubka (38) pracuje pro TPA od roku 2006 a</w:t>
      </w:r>
      <w:r>
        <w:t xml:space="preserve"> působil také v partnerské poradenské společnosti na Novém Zélandu. Od roku 2011 je soudním znalcem </w:t>
      </w:r>
      <w:r w:rsidRPr="00FA1347">
        <w:t xml:space="preserve">se specializací na oceňování podniků, nehmotného majetku a cenných papírů </w:t>
      </w:r>
      <w:r>
        <w:t xml:space="preserve">a od roku 2015 členem </w:t>
      </w:r>
      <w:r w:rsidRPr="00FA1347">
        <w:t>Královského institutu diplomovaných specialistů (MRICS)</w:t>
      </w:r>
      <w:r>
        <w:t xml:space="preserve"> pro oblast oceňování nemovitostí</w:t>
      </w:r>
      <w:r w:rsidRPr="00FA1347">
        <w:t>.</w:t>
      </w:r>
    </w:p>
    <w:p w14:paraId="39121031" w14:textId="77777777" w:rsidR="00FA1347" w:rsidRDefault="00FA1347" w:rsidP="00D04011">
      <w:pPr>
        <w:pStyle w:val="F2-zkladn"/>
        <w:tabs>
          <w:tab w:val="right" w:pos="9070"/>
        </w:tabs>
        <w:spacing w:line="240" w:lineRule="auto"/>
      </w:pPr>
      <w:r>
        <w:t>Kromě svého působení v TPA je Tomáš Podškubka rovněž pracovníkem Katedry financí a oceňování podniku na Fakultě financí a účetnictví Vysoké školy ekonomické v Praze.</w:t>
      </w:r>
      <w:r w:rsidR="00587DC7">
        <w:t xml:space="preserve"> Má na svém kontě řadu odborných publikací nebo článků, jichž je autorem či spoluautorem.</w:t>
      </w:r>
    </w:p>
    <w:p w14:paraId="39121032" w14:textId="77777777" w:rsidR="00587DC7" w:rsidRDefault="00587DC7" w:rsidP="00D04011">
      <w:pPr>
        <w:pStyle w:val="F2-zkladn"/>
        <w:tabs>
          <w:tab w:val="right" w:pos="9070"/>
        </w:tabs>
        <w:spacing w:line="240" w:lineRule="auto"/>
      </w:pPr>
      <w:r>
        <w:t>Tomáš Podškubka je absolventem Vysoké školy ekonomické v Praze, hovoří anglicky a studium tohoto jazyka patří k jeho oblíbeným činnostem. Vedle toho ve volném čase rád hraje tenis a lyžuje.</w:t>
      </w:r>
    </w:p>
    <w:p w14:paraId="39121033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4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587DC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912104E" wp14:editId="3912104F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1" name="Obrázek 1" descr="C:\Users\Marketa.Damkova\OneDrive - Crest Communications, a.s\PR-Korporátní komunikace\TPA\2021\Media relations\TZ\01_partner Tomáš Podškubka\Podskubka Tomas-1378x137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1\Media relations\TZ\01_partner Tomáš Podškubka\Podskubka Tomas-1378x1378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21035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6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7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8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9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A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B" w14:textId="77777777" w:rsidR="00587DC7" w:rsidRPr="00587DC7" w:rsidRDefault="00587DC7" w:rsidP="003916F2">
      <w:pPr>
        <w:pStyle w:val="F2-zkladn"/>
        <w:tabs>
          <w:tab w:val="right" w:pos="9070"/>
        </w:tabs>
        <w:spacing w:before="0" w:line="240" w:lineRule="auto"/>
      </w:pPr>
      <w:r w:rsidRPr="00587DC7">
        <w:t>Tomáš Podškubka, nový partner TPA</w:t>
      </w:r>
    </w:p>
    <w:p w14:paraId="3912103C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D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E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3F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40" w14:textId="77777777" w:rsidR="00587DC7" w:rsidRDefault="00587DC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41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121042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39121043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39121044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3912104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39121046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39121047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39121048" w14:textId="77777777" w:rsidR="00EB1C5A" w:rsidRPr="00AF63E5" w:rsidRDefault="00D12442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39121049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3912104A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3912104B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3912104C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lastRenderedPageBreak/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3912104D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9C46E" w14:textId="77777777" w:rsidR="00D12442" w:rsidRDefault="00D12442" w:rsidP="00087B0F">
      <w:pPr>
        <w:spacing w:after="0" w:line="240" w:lineRule="auto"/>
      </w:pPr>
      <w:r>
        <w:separator/>
      </w:r>
    </w:p>
  </w:endnote>
  <w:endnote w:type="continuationSeparator" w:id="0">
    <w:p w14:paraId="6D57E9B2" w14:textId="77777777" w:rsidR="00D12442" w:rsidRDefault="00D12442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1056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1057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1059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A6149" w14:textId="77777777" w:rsidR="00D12442" w:rsidRDefault="00D12442" w:rsidP="00087B0F">
      <w:pPr>
        <w:spacing w:after="0" w:line="240" w:lineRule="auto"/>
      </w:pPr>
      <w:r>
        <w:separator/>
      </w:r>
    </w:p>
  </w:footnote>
  <w:footnote w:type="continuationSeparator" w:id="0">
    <w:p w14:paraId="4C648DB9" w14:textId="77777777" w:rsidR="00D12442" w:rsidRDefault="00D12442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1054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1055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912105A" wp14:editId="3912105B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1058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F648D"/>
    <w:rsid w:val="001272D9"/>
    <w:rsid w:val="001514D6"/>
    <w:rsid w:val="001833EC"/>
    <w:rsid w:val="001979DD"/>
    <w:rsid w:val="001F387C"/>
    <w:rsid w:val="0027105E"/>
    <w:rsid w:val="002948D0"/>
    <w:rsid w:val="002A7D37"/>
    <w:rsid w:val="003143B9"/>
    <w:rsid w:val="00316D20"/>
    <w:rsid w:val="00381597"/>
    <w:rsid w:val="00385385"/>
    <w:rsid w:val="003916F2"/>
    <w:rsid w:val="003B5AE8"/>
    <w:rsid w:val="004010C0"/>
    <w:rsid w:val="004321DB"/>
    <w:rsid w:val="00433B9A"/>
    <w:rsid w:val="004432AB"/>
    <w:rsid w:val="00474216"/>
    <w:rsid w:val="00483CC4"/>
    <w:rsid w:val="00494A82"/>
    <w:rsid w:val="0051646C"/>
    <w:rsid w:val="0053615C"/>
    <w:rsid w:val="00587DC7"/>
    <w:rsid w:val="00590F8E"/>
    <w:rsid w:val="005A2DC0"/>
    <w:rsid w:val="00643BFA"/>
    <w:rsid w:val="00667056"/>
    <w:rsid w:val="00677F43"/>
    <w:rsid w:val="006A65B5"/>
    <w:rsid w:val="006D4B45"/>
    <w:rsid w:val="006F1767"/>
    <w:rsid w:val="00704800"/>
    <w:rsid w:val="00735B2F"/>
    <w:rsid w:val="00784698"/>
    <w:rsid w:val="00792360"/>
    <w:rsid w:val="007B5B26"/>
    <w:rsid w:val="007B5F1E"/>
    <w:rsid w:val="007C65E0"/>
    <w:rsid w:val="007D4CFC"/>
    <w:rsid w:val="007E1A19"/>
    <w:rsid w:val="008A654A"/>
    <w:rsid w:val="008E0CBB"/>
    <w:rsid w:val="00911D3B"/>
    <w:rsid w:val="0099767A"/>
    <w:rsid w:val="00A71FE0"/>
    <w:rsid w:val="00AC6BF2"/>
    <w:rsid w:val="00AD6570"/>
    <w:rsid w:val="00AF63E5"/>
    <w:rsid w:val="00B14E16"/>
    <w:rsid w:val="00BB2F4F"/>
    <w:rsid w:val="00BC4A3D"/>
    <w:rsid w:val="00BE16A9"/>
    <w:rsid w:val="00C43F8F"/>
    <w:rsid w:val="00D00657"/>
    <w:rsid w:val="00D01576"/>
    <w:rsid w:val="00D04011"/>
    <w:rsid w:val="00D12442"/>
    <w:rsid w:val="00D26944"/>
    <w:rsid w:val="00D4284D"/>
    <w:rsid w:val="00D67270"/>
    <w:rsid w:val="00D72C84"/>
    <w:rsid w:val="00DA18DA"/>
    <w:rsid w:val="00DB6D1B"/>
    <w:rsid w:val="00DE4970"/>
    <w:rsid w:val="00DF7E3A"/>
    <w:rsid w:val="00EA436F"/>
    <w:rsid w:val="00EB1C5A"/>
    <w:rsid w:val="00F32BD2"/>
    <w:rsid w:val="00FA1347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2102C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FE48-95B2-4F32-8932-6CEBC4AB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6</cp:revision>
  <cp:lastPrinted>2016-08-25T19:42:00Z</cp:lastPrinted>
  <dcterms:created xsi:type="dcterms:W3CDTF">2020-12-16T15:42:00Z</dcterms:created>
  <dcterms:modified xsi:type="dcterms:W3CDTF">2021-01-06T09:53:00Z</dcterms:modified>
</cp:coreProperties>
</file>